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36BF6" w14:textId="4A885CFC" w:rsidR="000D3402" w:rsidRPr="00C51B23" w:rsidRDefault="003E69EC" w:rsidP="002651A4">
      <w:pPr>
        <w:spacing w:line="400" w:lineRule="exact"/>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中</w:t>
      </w:r>
      <w:r w:rsidR="000D3402" w:rsidRPr="00C51B23">
        <w:rPr>
          <w:rFonts w:ascii="Times New Roman" w:eastAsia="標楷體" w:hAnsi="Times New Roman" w:cs="Times New Roman"/>
          <w:b/>
          <w:sz w:val="32"/>
          <w:szCs w:val="32"/>
        </w:rPr>
        <w:t>華民國證券商業同業公會證券商受託買賣外國有價證券</w:t>
      </w:r>
      <w:r w:rsidR="00B81D61" w:rsidRPr="00C51B23">
        <w:rPr>
          <w:rFonts w:ascii="Times New Roman" w:eastAsia="標楷體" w:hAnsi="Times New Roman" w:cs="Times New Roman"/>
          <w:b/>
          <w:sz w:val="32"/>
          <w:szCs w:val="32"/>
        </w:rPr>
        <w:t>管理</w:t>
      </w:r>
      <w:r w:rsidR="000D3402" w:rsidRPr="00C51B23">
        <w:rPr>
          <w:rFonts w:ascii="Times New Roman" w:eastAsia="標楷體" w:hAnsi="Times New Roman" w:cs="Times New Roman"/>
          <w:b/>
          <w:sz w:val="32"/>
          <w:szCs w:val="32"/>
        </w:rPr>
        <w:t>辦法</w:t>
      </w:r>
    </w:p>
    <w:p w14:paraId="25519456" w14:textId="6C6410CD" w:rsidR="000D3402" w:rsidRDefault="000D3402" w:rsidP="002651A4">
      <w:pPr>
        <w:spacing w:afterLines="50" w:after="180" w:line="400" w:lineRule="exact"/>
        <w:jc w:val="both"/>
        <w:rPr>
          <w:rFonts w:ascii="Times New Roman" w:eastAsia="標楷體" w:hAnsi="Times New Roman" w:cs="Times New Roman"/>
          <w:b/>
          <w:sz w:val="32"/>
          <w:szCs w:val="32"/>
        </w:rPr>
      </w:pPr>
      <w:r w:rsidRPr="00C51B23">
        <w:rPr>
          <w:rFonts w:ascii="Times New Roman" w:eastAsia="標楷體" w:hAnsi="Times New Roman" w:cs="Times New Roman"/>
          <w:b/>
          <w:sz w:val="32"/>
          <w:szCs w:val="32"/>
        </w:rPr>
        <w:t>修正條文對照表</w:t>
      </w:r>
    </w:p>
    <w:tbl>
      <w:tblPr>
        <w:tblStyle w:val="aa"/>
        <w:tblW w:w="9203" w:type="dxa"/>
        <w:tblInd w:w="216" w:type="dxa"/>
        <w:tblLook w:val="04A0" w:firstRow="1" w:lastRow="0" w:firstColumn="1" w:lastColumn="0" w:noHBand="0" w:noVBand="1"/>
      </w:tblPr>
      <w:tblGrid>
        <w:gridCol w:w="4601"/>
        <w:gridCol w:w="4602"/>
      </w:tblGrid>
      <w:tr w:rsidR="00F41B9D" w:rsidRPr="00326B79" w14:paraId="4FB9A952" w14:textId="77777777" w:rsidTr="00F41B9D">
        <w:trPr>
          <w:tblHeader/>
        </w:trPr>
        <w:tc>
          <w:tcPr>
            <w:tcW w:w="4601" w:type="dxa"/>
          </w:tcPr>
          <w:p w14:paraId="50B3582E" w14:textId="77777777" w:rsidR="00F41B9D" w:rsidRPr="00326B79" w:rsidRDefault="00F41B9D" w:rsidP="00EE3C10">
            <w:pPr>
              <w:pStyle w:val="a3"/>
              <w:spacing w:line="400" w:lineRule="exact"/>
              <w:ind w:left="0"/>
              <w:jc w:val="center"/>
              <w:rPr>
                <w:rFonts w:ascii="Times New Roman" w:eastAsia="標楷體" w:hAnsi="Times New Roman"/>
                <w:sz w:val="28"/>
                <w:szCs w:val="28"/>
              </w:rPr>
            </w:pPr>
            <w:r w:rsidRPr="00326B79">
              <w:rPr>
                <w:rFonts w:ascii="Times New Roman" w:eastAsia="標楷體" w:hAnsi="Times New Roman"/>
                <w:sz w:val="28"/>
                <w:szCs w:val="28"/>
              </w:rPr>
              <w:t>修正條文</w:t>
            </w:r>
          </w:p>
        </w:tc>
        <w:tc>
          <w:tcPr>
            <w:tcW w:w="4602" w:type="dxa"/>
          </w:tcPr>
          <w:p w14:paraId="0B4ACD7B" w14:textId="77777777" w:rsidR="00F41B9D" w:rsidRPr="00326B79" w:rsidRDefault="00F41B9D" w:rsidP="00EE3C10">
            <w:pPr>
              <w:pStyle w:val="a3"/>
              <w:spacing w:line="400" w:lineRule="exact"/>
              <w:ind w:left="0"/>
              <w:jc w:val="center"/>
              <w:rPr>
                <w:rFonts w:ascii="Times New Roman" w:eastAsia="標楷體" w:hAnsi="Times New Roman"/>
                <w:sz w:val="28"/>
                <w:szCs w:val="28"/>
              </w:rPr>
            </w:pPr>
            <w:r w:rsidRPr="00326B79">
              <w:rPr>
                <w:rFonts w:ascii="Times New Roman" w:eastAsia="標楷體" w:hAnsi="Times New Roman"/>
                <w:sz w:val="28"/>
                <w:szCs w:val="28"/>
              </w:rPr>
              <w:t>現行條文</w:t>
            </w:r>
          </w:p>
        </w:tc>
      </w:tr>
      <w:tr w:rsidR="00F41B9D" w:rsidRPr="00326B79" w14:paraId="19614FF9" w14:textId="77777777" w:rsidTr="00F41B9D">
        <w:tc>
          <w:tcPr>
            <w:tcW w:w="4601" w:type="dxa"/>
          </w:tcPr>
          <w:p w14:paraId="20A18D20" w14:textId="77777777" w:rsidR="00F41B9D" w:rsidRPr="00326B79" w:rsidRDefault="00F41B9D" w:rsidP="00EE3C10">
            <w:pPr>
              <w:pStyle w:val="a3"/>
              <w:spacing w:line="400" w:lineRule="exact"/>
              <w:ind w:left="2"/>
              <w:jc w:val="both"/>
              <w:rPr>
                <w:rFonts w:ascii="Times New Roman" w:eastAsia="標楷體" w:hAnsi="Times New Roman"/>
                <w:b/>
                <w:bCs/>
                <w:sz w:val="28"/>
                <w:szCs w:val="28"/>
              </w:rPr>
            </w:pPr>
            <w:r w:rsidRPr="00326B79">
              <w:rPr>
                <w:rFonts w:ascii="Times New Roman" w:eastAsia="標楷體" w:hAnsi="Times New Roman"/>
                <w:b/>
                <w:bCs/>
                <w:sz w:val="28"/>
                <w:szCs w:val="28"/>
              </w:rPr>
              <w:t>第六條之二</w:t>
            </w:r>
          </w:p>
          <w:p w14:paraId="70AFD266" w14:textId="77777777" w:rsidR="00F41B9D" w:rsidRDefault="00F41B9D" w:rsidP="00F41B9D">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證券商接受非專業投資人委託買賣</w:t>
            </w:r>
            <w:r w:rsidRPr="0008641B">
              <w:rPr>
                <w:rFonts w:ascii="Times New Roman" w:eastAsia="標楷體" w:hAnsi="Times New Roman" w:hint="eastAsia"/>
                <w:sz w:val="28"/>
                <w:szCs w:val="28"/>
              </w:rPr>
              <w:t>指數股票型基金（</w:t>
            </w:r>
            <w:r w:rsidRPr="0008641B">
              <w:rPr>
                <w:rFonts w:ascii="Times New Roman" w:eastAsia="標楷體" w:hAnsi="Times New Roman" w:hint="eastAsia"/>
                <w:sz w:val="28"/>
                <w:szCs w:val="28"/>
              </w:rPr>
              <w:t>ETF</w:t>
            </w:r>
            <w:r w:rsidRPr="0008641B">
              <w:rPr>
                <w:rFonts w:ascii="Times New Roman" w:eastAsia="標楷體" w:hAnsi="Times New Roman" w:hint="eastAsia"/>
                <w:sz w:val="28"/>
                <w:szCs w:val="28"/>
              </w:rPr>
              <w:t>）</w:t>
            </w:r>
            <w:r w:rsidRPr="00326B79">
              <w:rPr>
                <w:rFonts w:ascii="Times New Roman" w:eastAsia="標楷體" w:hAnsi="Times New Roman"/>
                <w:sz w:val="28"/>
                <w:szCs w:val="28"/>
              </w:rPr>
              <w:t>，除以投資股票、債券為主且不具槓桿或放空效果之</w:t>
            </w:r>
            <w:r w:rsidRPr="00326B79">
              <w:rPr>
                <w:rFonts w:ascii="Times New Roman" w:eastAsia="標楷體" w:hAnsi="Times New Roman"/>
                <w:sz w:val="28"/>
                <w:szCs w:val="28"/>
              </w:rPr>
              <w:t xml:space="preserve"> ETF </w:t>
            </w:r>
            <w:r w:rsidRPr="00326B79">
              <w:rPr>
                <w:rFonts w:ascii="Times New Roman" w:eastAsia="標楷體" w:hAnsi="Times New Roman"/>
                <w:sz w:val="28"/>
                <w:szCs w:val="28"/>
              </w:rPr>
              <w:t>外，應由委託人於初次買賣時簽具風險預告書，證券商始得接受其委託。</w:t>
            </w:r>
          </w:p>
          <w:p w14:paraId="242781BA" w14:textId="77777777" w:rsidR="00F41B9D" w:rsidRPr="0008641B" w:rsidRDefault="00F41B9D" w:rsidP="00F41B9D">
            <w:pPr>
              <w:pStyle w:val="a3"/>
              <w:spacing w:beforeLines="30" w:before="108" w:line="400" w:lineRule="exact"/>
              <w:ind w:left="0"/>
              <w:jc w:val="both"/>
              <w:rPr>
                <w:rFonts w:ascii="Times New Roman" w:eastAsia="標楷體" w:hAnsi="Times New Roman"/>
                <w:color w:val="FF0000"/>
                <w:sz w:val="28"/>
                <w:szCs w:val="28"/>
                <w:u w:val="single"/>
              </w:rPr>
            </w:pPr>
            <w:r w:rsidRPr="007A7096">
              <w:rPr>
                <w:rFonts w:ascii="Times New Roman" w:eastAsia="標楷體" w:hAnsi="Times New Roman"/>
                <w:color w:val="FF0000"/>
                <w:sz w:val="28"/>
                <w:szCs w:val="28"/>
                <w:u w:val="single"/>
              </w:rPr>
              <w:t>證券商接受非專業投資人委託買賣</w:t>
            </w:r>
            <w:r w:rsidRPr="007A7096">
              <w:rPr>
                <w:rFonts w:ascii="Times New Roman" w:eastAsia="標楷體" w:hAnsi="Times New Roman" w:hint="eastAsia"/>
                <w:color w:val="FF0000"/>
                <w:sz w:val="28"/>
                <w:szCs w:val="28"/>
                <w:u w:val="single"/>
              </w:rPr>
              <w:t>封閉型基金</w:t>
            </w:r>
            <w:r w:rsidRPr="007A7096">
              <w:rPr>
                <w:rFonts w:ascii="Times New Roman" w:eastAsia="標楷體" w:hAnsi="Times New Roman"/>
                <w:color w:val="FF0000"/>
                <w:sz w:val="28"/>
                <w:szCs w:val="28"/>
                <w:u w:val="single"/>
              </w:rPr>
              <w:t>（</w:t>
            </w:r>
            <w:r w:rsidRPr="007A7096">
              <w:rPr>
                <w:rFonts w:ascii="Times New Roman" w:eastAsia="標楷體" w:hAnsi="Times New Roman" w:hint="eastAsia"/>
                <w:color w:val="FF0000"/>
                <w:sz w:val="28"/>
                <w:szCs w:val="28"/>
                <w:u w:val="single"/>
              </w:rPr>
              <w:t>CEF</w:t>
            </w:r>
            <w:r w:rsidRPr="007A7096">
              <w:rPr>
                <w:rFonts w:ascii="Times New Roman" w:eastAsia="標楷體" w:hAnsi="Times New Roman"/>
                <w:color w:val="FF0000"/>
                <w:sz w:val="28"/>
                <w:szCs w:val="28"/>
                <w:u w:val="single"/>
              </w:rPr>
              <w:t>），應由委託人於初次買賣時簽具風險預告書，證券商始得接受其委託。</w:t>
            </w:r>
          </w:p>
          <w:p w14:paraId="1AA87AFD" w14:textId="77777777" w:rsidR="00F41B9D" w:rsidRDefault="00F41B9D" w:rsidP="00F41B9D">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前</w:t>
            </w:r>
            <w:r w:rsidRPr="0008641B">
              <w:rPr>
                <w:rFonts w:ascii="Times New Roman" w:eastAsia="標楷體" w:hAnsi="Times New Roman" w:hint="eastAsia"/>
                <w:color w:val="FF0000"/>
                <w:sz w:val="28"/>
                <w:szCs w:val="28"/>
                <w:u w:val="single"/>
              </w:rPr>
              <w:t>二</w:t>
            </w:r>
            <w:r w:rsidRPr="00326B79">
              <w:rPr>
                <w:rFonts w:ascii="Times New Roman" w:eastAsia="標楷體" w:hAnsi="Times New Roman"/>
                <w:sz w:val="28"/>
                <w:szCs w:val="28"/>
              </w:rPr>
              <w:t>項風險預告書採電子簽章簽署方式辦理者，證券商應依第六條第二項規定辦理。</w:t>
            </w:r>
          </w:p>
          <w:p w14:paraId="4C82FB26" w14:textId="77777777" w:rsidR="00F41B9D" w:rsidRPr="00FF51B2" w:rsidRDefault="00F41B9D" w:rsidP="00F41B9D">
            <w:pPr>
              <w:pStyle w:val="a3"/>
              <w:spacing w:beforeLines="30" w:before="108" w:line="400" w:lineRule="exact"/>
              <w:ind w:left="0"/>
              <w:jc w:val="both"/>
              <w:rPr>
                <w:rFonts w:ascii="Times New Roman" w:eastAsia="標楷體" w:hAnsi="Times New Roman"/>
                <w:sz w:val="28"/>
                <w:szCs w:val="28"/>
              </w:rPr>
            </w:pPr>
            <w:r w:rsidRPr="00F41B9D">
              <w:rPr>
                <w:rFonts w:ascii="Times New Roman" w:eastAsia="標楷體" w:hAnsi="Times New Roman" w:hint="eastAsia"/>
                <w:color w:val="FF0000"/>
                <w:sz w:val="28"/>
                <w:szCs w:val="28"/>
                <w:u w:val="single"/>
              </w:rPr>
              <w:t>第一項及第二項</w:t>
            </w:r>
            <w:r w:rsidRPr="00671506">
              <w:rPr>
                <w:rFonts w:ascii="Times New Roman" w:eastAsia="標楷體" w:hAnsi="Times New Roman" w:hint="eastAsia"/>
                <w:sz w:val="28"/>
                <w:szCs w:val="28"/>
              </w:rPr>
              <w:t>風險預告書範本由本公會訂定，報請主管機關核定。</w:t>
            </w:r>
          </w:p>
        </w:tc>
        <w:tc>
          <w:tcPr>
            <w:tcW w:w="4602" w:type="dxa"/>
          </w:tcPr>
          <w:p w14:paraId="57E9C655" w14:textId="77777777" w:rsidR="00F41B9D" w:rsidRPr="00326B79" w:rsidRDefault="00F41B9D" w:rsidP="00EE3C10">
            <w:pPr>
              <w:pStyle w:val="a3"/>
              <w:spacing w:line="400" w:lineRule="exact"/>
              <w:ind w:left="2"/>
              <w:jc w:val="both"/>
              <w:rPr>
                <w:rFonts w:ascii="Times New Roman" w:eastAsia="標楷體" w:hAnsi="Times New Roman"/>
                <w:b/>
                <w:bCs/>
                <w:sz w:val="28"/>
                <w:szCs w:val="28"/>
              </w:rPr>
            </w:pPr>
            <w:r w:rsidRPr="00326B79">
              <w:rPr>
                <w:rFonts w:ascii="Times New Roman" w:eastAsia="標楷體" w:hAnsi="Times New Roman"/>
                <w:b/>
                <w:bCs/>
                <w:sz w:val="28"/>
                <w:szCs w:val="28"/>
              </w:rPr>
              <w:t>第六條之二</w:t>
            </w:r>
          </w:p>
          <w:p w14:paraId="3E6A8970"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證券商接受非專業投資人委託買賣指數股票型基金（</w:t>
            </w:r>
            <w:r w:rsidRPr="00326B79">
              <w:rPr>
                <w:rFonts w:ascii="Times New Roman" w:eastAsia="標楷體" w:hAnsi="Times New Roman"/>
                <w:sz w:val="28"/>
                <w:szCs w:val="28"/>
              </w:rPr>
              <w:t>ETF</w:t>
            </w:r>
            <w:r w:rsidRPr="00326B79">
              <w:rPr>
                <w:rFonts w:ascii="Times New Roman" w:eastAsia="標楷體" w:hAnsi="Times New Roman"/>
                <w:sz w:val="28"/>
                <w:szCs w:val="28"/>
              </w:rPr>
              <w:t>），除以投資股票、債券為主且不具槓桿或放空效果之</w:t>
            </w:r>
            <w:r w:rsidRPr="00326B79">
              <w:rPr>
                <w:rFonts w:ascii="Times New Roman" w:eastAsia="標楷體" w:hAnsi="Times New Roman"/>
                <w:sz w:val="28"/>
                <w:szCs w:val="28"/>
              </w:rPr>
              <w:t xml:space="preserve"> ETF </w:t>
            </w:r>
            <w:r w:rsidRPr="00326B79">
              <w:rPr>
                <w:rFonts w:ascii="Times New Roman" w:eastAsia="標楷體" w:hAnsi="Times New Roman"/>
                <w:sz w:val="28"/>
                <w:szCs w:val="28"/>
              </w:rPr>
              <w:t>外，應由委託人於初次買賣時簽具風險預告書，證券商始得接受其委託。</w:t>
            </w:r>
          </w:p>
          <w:p w14:paraId="1827705F"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前項風險預告書採電子簽章簽署方式辦理者，證券商應依第六條第二項規定辦理。</w:t>
            </w:r>
          </w:p>
          <w:p w14:paraId="3C0EA874"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671506">
              <w:rPr>
                <w:rFonts w:ascii="Times New Roman" w:eastAsia="標楷體" w:hAnsi="Times New Roman" w:hint="eastAsia"/>
                <w:sz w:val="28"/>
                <w:szCs w:val="28"/>
              </w:rPr>
              <w:t>第一項風險預告書範本由本公會訂定，報請主管機關核定。</w:t>
            </w:r>
          </w:p>
        </w:tc>
      </w:tr>
      <w:tr w:rsidR="00F41B9D" w:rsidRPr="00326B79" w14:paraId="2B63327D" w14:textId="77777777" w:rsidTr="00F41B9D">
        <w:tc>
          <w:tcPr>
            <w:tcW w:w="4601" w:type="dxa"/>
          </w:tcPr>
          <w:p w14:paraId="4545B12A" w14:textId="77777777" w:rsidR="00F41B9D" w:rsidRPr="00326B79" w:rsidRDefault="00F41B9D" w:rsidP="00EE3C10">
            <w:pPr>
              <w:pStyle w:val="a3"/>
              <w:spacing w:line="400" w:lineRule="exact"/>
              <w:ind w:left="0"/>
              <w:jc w:val="both"/>
              <w:rPr>
                <w:rFonts w:ascii="Times New Roman" w:eastAsia="標楷體" w:hAnsi="Times New Roman"/>
                <w:b/>
                <w:bCs/>
                <w:sz w:val="28"/>
                <w:szCs w:val="28"/>
              </w:rPr>
            </w:pPr>
            <w:r w:rsidRPr="00326B79">
              <w:rPr>
                <w:rFonts w:ascii="Times New Roman" w:eastAsia="標楷體" w:hAnsi="Times New Roman"/>
                <w:b/>
                <w:bCs/>
                <w:sz w:val="28"/>
                <w:szCs w:val="28"/>
              </w:rPr>
              <w:t>第十條之二</w:t>
            </w:r>
          </w:p>
          <w:p w14:paraId="1DAA6A75" w14:textId="77777777" w:rsidR="00F41B9D"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證券商接受非專業投資人委託買賣具有槓桿或放空效果之</w:t>
            </w:r>
            <w:r w:rsidRPr="00326B79">
              <w:rPr>
                <w:rFonts w:ascii="Times New Roman" w:eastAsia="標楷體" w:hAnsi="Times New Roman"/>
                <w:sz w:val="28"/>
                <w:szCs w:val="28"/>
              </w:rPr>
              <w:t>ETF</w:t>
            </w:r>
            <w:r w:rsidRPr="00326B79">
              <w:rPr>
                <w:rFonts w:ascii="Times New Roman" w:eastAsia="標楷體" w:hAnsi="Times New Roman"/>
                <w:sz w:val="28"/>
                <w:szCs w:val="28"/>
              </w:rPr>
              <w:t>，以正向不超過二倍及反向不超過一倍為限</w:t>
            </w:r>
            <w:r>
              <w:rPr>
                <w:rFonts w:ascii="Times New Roman" w:eastAsia="標楷體" w:hAnsi="Times New Roman" w:hint="eastAsia"/>
                <w:sz w:val="28"/>
                <w:szCs w:val="28"/>
              </w:rPr>
              <w:t>。</w:t>
            </w:r>
          </w:p>
          <w:p w14:paraId="2DC2C7F2"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委託人應於初次買賣</w:t>
            </w:r>
            <w:r w:rsidRPr="00C96BC8">
              <w:rPr>
                <w:rFonts w:ascii="Times New Roman" w:eastAsia="標楷體" w:hAnsi="Times New Roman" w:hint="eastAsia"/>
                <w:color w:val="FF0000"/>
                <w:sz w:val="28"/>
                <w:szCs w:val="28"/>
                <w:u w:val="single"/>
              </w:rPr>
              <w:t>具有槓桿或放空效果之</w:t>
            </w:r>
            <w:r w:rsidRPr="00C96BC8">
              <w:rPr>
                <w:rFonts w:ascii="Times New Roman" w:eastAsia="標楷體" w:hAnsi="Times New Roman" w:hint="eastAsia"/>
                <w:color w:val="FF0000"/>
                <w:sz w:val="28"/>
                <w:szCs w:val="28"/>
                <w:u w:val="single"/>
              </w:rPr>
              <w:t>ETF</w:t>
            </w:r>
            <w:r w:rsidRPr="00C96BC8">
              <w:rPr>
                <w:rFonts w:ascii="Times New Roman" w:eastAsia="標楷體" w:hAnsi="Times New Roman" w:hint="eastAsia"/>
                <w:color w:val="FF0000"/>
                <w:sz w:val="28"/>
                <w:szCs w:val="28"/>
                <w:u w:val="single"/>
              </w:rPr>
              <w:t>及買賣封閉型基金</w:t>
            </w:r>
            <w:r w:rsidRPr="00C96BC8">
              <w:rPr>
                <w:rFonts w:ascii="Times New Roman" w:eastAsia="標楷體" w:hAnsi="Times New Roman" w:hint="eastAsia"/>
                <w:color w:val="FF0000"/>
                <w:sz w:val="28"/>
                <w:szCs w:val="28"/>
                <w:u w:val="single"/>
              </w:rPr>
              <w:t>(CEF)</w:t>
            </w:r>
            <w:r w:rsidRPr="00326B79">
              <w:rPr>
                <w:rFonts w:ascii="Times New Roman" w:eastAsia="標楷體" w:hAnsi="Times New Roman"/>
                <w:sz w:val="28"/>
                <w:szCs w:val="28"/>
              </w:rPr>
              <w:t>時具備下列條件之一：</w:t>
            </w:r>
          </w:p>
          <w:p w14:paraId="247D66A8" w14:textId="77777777" w:rsidR="00F41B9D" w:rsidRPr="00326B79" w:rsidRDefault="00F41B9D" w:rsidP="00EE3C10">
            <w:pPr>
              <w:pStyle w:val="a3"/>
              <w:spacing w:line="400" w:lineRule="exact"/>
              <w:ind w:leftChars="3" w:left="567" w:hangingChars="200" w:hanging="560"/>
              <w:jc w:val="both"/>
              <w:rPr>
                <w:rFonts w:ascii="Times New Roman" w:eastAsia="標楷體" w:hAnsi="Times New Roman"/>
                <w:sz w:val="28"/>
                <w:szCs w:val="28"/>
              </w:rPr>
            </w:pPr>
            <w:r w:rsidRPr="00326B79">
              <w:rPr>
                <w:rFonts w:ascii="Times New Roman" w:eastAsia="標楷體" w:hAnsi="Times New Roman"/>
                <w:sz w:val="28"/>
                <w:szCs w:val="28"/>
              </w:rPr>
              <w:t>一、已開立國內信用交易帳戶。</w:t>
            </w:r>
          </w:p>
          <w:p w14:paraId="79D80967" w14:textId="77777777" w:rsidR="00F41B9D" w:rsidRPr="00326B79" w:rsidRDefault="00F41B9D" w:rsidP="00EE3C10">
            <w:pPr>
              <w:pStyle w:val="a3"/>
              <w:spacing w:line="400" w:lineRule="exact"/>
              <w:ind w:leftChars="3" w:left="511" w:hangingChars="180" w:hanging="504"/>
              <w:jc w:val="both"/>
              <w:rPr>
                <w:rFonts w:ascii="Times New Roman" w:eastAsia="標楷體" w:hAnsi="Times New Roman"/>
                <w:sz w:val="28"/>
                <w:szCs w:val="28"/>
              </w:rPr>
            </w:pPr>
            <w:r w:rsidRPr="00326B79">
              <w:rPr>
                <w:rFonts w:ascii="Times New Roman" w:eastAsia="標楷體" w:hAnsi="Times New Roman"/>
                <w:sz w:val="28"/>
                <w:szCs w:val="28"/>
              </w:rPr>
              <w:t>二、最近一年內委託買賣國內或外國認購</w:t>
            </w:r>
            <w:r w:rsidRPr="00326B79">
              <w:rPr>
                <w:rFonts w:ascii="Times New Roman" w:eastAsia="標楷體" w:hAnsi="Times New Roman"/>
                <w:sz w:val="28"/>
                <w:szCs w:val="28"/>
              </w:rPr>
              <w:t>(</w:t>
            </w:r>
            <w:r w:rsidRPr="00326B79">
              <w:rPr>
                <w:rFonts w:ascii="Times New Roman" w:eastAsia="標楷體" w:hAnsi="Times New Roman"/>
                <w:sz w:val="28"/>
                <w:szCs w:val="28"/>
              </w:rPr>
              <w:t>售</w:t>
            </w:r>
            <w:r w:rsidRPr="00326B79">
              <w:rPr>
                <w:rFonts w:ascii="Times New Roman" w:eastAsia="標楷體" w:hAnsi="Times New Roman"/>
                <w:sz w:val="28"/>
                <w:szCs w:val="28"/>
              </w:rPr>
              <w:t>)</w:t>
            </w:r>
            <w:r w:rsidRPr="00326B79">
              <w:rPr>
                <w:rFonts w:ascii="Times New Roman" w:eastAsia="標楷體" w:hAnsi="Times New Roman"/>
                <w:sz w:val="28"/>
                <w:szCs w:val="28"/>
              </w:rPr>
              <w:t>權證成交達十筆</w:t>
            </w:r>
            <w:r w:rsidRPr="00326B79">
              <w:rPr>
                <w:rFonts w:ascii="Times New Roman" w:eastAsia="標楷體" w:hAnsi="Times New Roman"/>
                <w:sz w:val="28"/>
                <w:szCs w:val="28"/>
              </w:rPr>
              <w:t>(</w:t>
            </w:r>
            <w:r w:rsidRPr="00326B79">
              <w:rPr>
                <w:rFonts w:ascii="Times New Roman" w:eastAsia="標楷體" w:hAnsi="Times New Roman"/>
                <w:sz w:val="28"/>
                <w:szCs w:val="28"/>
              </w:rPr>
              <w:t>含</w:t>
            </w:r>
            <w:r w:rsidRPr="00326B79">
              <w:rPr>
                <w:rFonts w:ascii="Times New Roman" w:eastAsia="標楷體" w:hAnsi="Times New Roman"/>
                <w:sz w:val="28"/>
                <w:szCs w:val="28"/>
              </w:rPr>
              <w:t>)</w:t>
            </w:r>
            <w:r w:rsidRPr="00326B79">
              <w:rPr>
                <w:rFonts w:ascii="Times New Roman" w:eastAsia="標楷體" w:hAnsi="Times New Roman"/>
                <w:sz w:val="28"/>
                <w:szCs w:val="28"/>
              </w:rPr>
              <w:t>以上。</w:t>
            </w:r>
          </w:p>
          <w:p w14:paraId="6FEDB478" w14:textId="77777777" w:rsidR="00F41B9D" w:rsidRPr="00326B79" w:rsidRDefault="00F41B9D" w:rsidP="00EE3C10">
            <w:pPr>
              <w:pStyle w:val="a3"/>
              <w:spacing w:line="400" w:lineRule="exact"/>
              <w:ind w:leftChars="3" w:left="511" w:hangingChars="180" w:hanging="504"/>
              <w:jc w:val="both"/>
              <w:rPr>
                <w:rFonts w:ascii="Times New Roman" w:eastAsia="標楷體" w:hAnsi="Times New Roman"/>
                <w:sz w:val="28"/>
                <w:szCs w:val="28"/>
              </w:rPr>
            </w:pPr>
            <w:r w:rsidRPr="00326B79">
              <w:rPr>
                <w:rFonts w:ascii="Times New Roman" w:eastAsia="標楷體" w:hAnsi="Times New Roman"/>
                <w:sz w:val="28"/>
                <w:szCs w:val="28"/>
              </w:rPr>
              <w:t>三、最近一年內委託買賣國內或外國期貨交易契約成交達十筆</w:t>
            </w:r>
            <w:r w:rsidRPr="00326B79">
              <w:rPr>
                <w:rFonts w:ascii="Times New Roman" w:eastAsia="標楷體" w:hAnsi="Times New Roman"/>
                <w:sz w:val="28"/>
                <w:szCs w:val="28"/>
              </w:rPr>
              <w:t>(</w:t>
            </w:r>
            <w:r w:rsidRPr="00326B79">
              <w:rPr>
                <w:rFonts w:ascii="Times New Roman" w:eastAsia="標楷體" w:hAnsi="Times New Roman"/>
                <w:sz w:val="28"/>
                <w:szCs w:val="28"/>
              </w:rPr>
              <w:t>含</w:t>
            </w:r>
            <w:r w:rsidRPr="00326B79">
              <w:rPr>
                <w:rFonts w:ascii="Times New Roman" w:eastAsia="標楷體" w:hAnsi="Times New Roman"/>
                <w:sz w:val="28"/>
                <w:szCs w:val="28"/>
              </w:rPr>
              <w:t>)</w:t>
            </w:r>
            <w:r w:rsidRPr="00326B79">
              <w:rPr>
                <w:rFonts w:ascii="Times New Roman" w:eastAsia="標楷體" w:hAnsi="Times New Roman"/>
                <w:sz w:val="28"/>
                <w:szCs w:val="28"/>
              </w:rPr>
              <w:t>以上。</w:t>
            </w:r>
          </w:p>
          <w:p w14:paraId="0D3149C5" w14:textId="77777777" w:rsidR="00F41B9D" w:rsidRPr="00326B79" w:rsidRDefault="00F41B9D" w:rsidP="00EE3C10">
            <w:pPr>
              <w:pStyle w:val="a3"/>
              <w:spacing w:line="400" w:lineRule="exact"/>
              <w:ind w:leftChars="2" w:left="509" w:hangingChars="180" w:hanging="504"/>
              <w:jc w:val="both"/>
              <w:rPr>
                <w:rFonts w:ascii="Times New Roman" w:eastAsia="標楷體" w:hAnsi="Times New Roman"/>
                <w:sz w:val="28"/>
                <w:szCs w:val="28"/>
              </w:rPr>
            </w:pPr>
            <w:r w:rsidRPr="00326B79">
              <w:rPr>
                <w:rFonts w:ascii="Times New Roman" w:eastAsia="標楷體" w:hAnsi="Times New Roman"/>
                <w:sz w:val="28"/>
                <w:szCs w:val="28"/>
              </w:rPr>
              <w:t>四、委託買賣國內或外國證券交易市場掛牌之槓桿或放空效果</w:t>
            </w:r>
            <w:r w:rsidRPr="00326B79">
              <w:rPr>
                <w:rFonts w:ascii="Times New Roman" w:eastAsia="標楷體" w:hAnsi="Times New Roman"/>
                <w:sz w:val="28"/>
                <w:szCs w:val="28"/>
              </w:rPr>
              <w:t xml:space="preserve">ETF </w:t>
            </w:r>
            <w:r w:rsidRPr="00326B79">
              <w:rPr>
                <w:rFonts w:ascii="Times New Roman" w:eastAsia="標楷體" w:hAnsi="Times New Roman"/>
                <w:sz w:val="28"/>
                <w:szCs w:val="28"/>
              </w:rPr>
              <w:lastRenderedPageBreak/>
              <w:t>之成交紀錄。</w:t>
            </w:r>
          </w:p>
          <w:p w14:paraId="36E7CCE1"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前項委託人向證券商提出申請時，得以確認為本人及其意思表示之通信或電子化方式為之。</w:t>
            </w:r>
          </w:p>
          <w:p w14:paraId="75ABA40F" w14:textId="77777777" w:rsidR="00F41B9D" w:rsidRPr="008E21E1" w:rsidRDefault="00F41B9D" w:rsidP="00EE3C10">
            <w:pPr>
              <w:spacing w:beforeLines="30" w:before="108" w:line="400" w:lineRule="exact"/>
              <w:jc w:val="both"/>
              <w:rPr>
                <w:rFonts w:ascii="Times New Roman" w:eastAsia="標楷體" w:hAnsi="Times New Roman"/>
                <w:b/>
                <w:bCs/>
                <w:sz w:val="28"/>
                <w:szCs w:val="28"/>
              </w:rPr>
            </w:pPr>
            <w:r w:rsidRPr="008E21E1">
              <w:rPr>
                <w:rFonts w:ascii="Times New Roman" w:eastAsia="標楷體" w:hAnsi="Times New Roman"/>
                <w:sz w:val="28"/>
                <w:szCs w:val="28"/>
              </w:rPr>
              <w:t>證券商接受非專業投資人委託買賣外國有價證券，應就管理規則第六條及相關函令規定非專業投資人買賣標的相關限制，建立內部控管作業程序，並依相關作業程序辦理。</w:t>
            </w:r>
          </w:p>
        </w:tc>
        <w:tc>
          <w:tcPr>
            <w:tcW w:w="4602" w:type="dxa"/>
          </w:tcPr>
          <w:p w14:paraId="54C1C8DC" w14:textId="77777777" w:rsidR="00F41B9D" w:rsidRPr="00326B79" w:rsidRDefault="00F41B9D" w:rsidP="00EE3C10">
            <w:pPr>
              <w:pStyle w:val="a3"/>
              <w:spacing w:line="400" w:lineRule="exact"/>
              <w:ind w:left="0"/>
              <w:jc w:val="both"/>
              <w:rPr>
                <w:rFonts w:ascii="Times New Roman" w:eastAsia="標楷體" w:hAnsi="Times New Roman"/>
                <w:b/>
                <w:bCs/>
                <w:sz w:val="28"/>
                <w:szCs w:val="28"/>
              </w:rPr>
            </w:pPr>
            <w:r w:rsidRPr="00326B79">
              <w:rPr>
                <w:rFonts w:ascii="Times New Roman" w:eastAsia="標楷體" w:hAnsi="Times New Roman"/>
                <w:b/>
                <w:bCs/>
                <w:sz w:val="28"/>
                <w:szCs w:val="28"/>
              </w:rPr>
              <w:lastRenderedPageBreak/>
              <w:t>第十條之二</w:t>
            </w:r>
          </w:p>
          <w:p w14:paraId="2943920A"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t>證券商接受非專業投資人委託買賣具有槓桿或放空效果之</w:t>
            </w:r>
            <w:r w:rsidRPr="00326B79">
              <w:rPr>
                <w:rFonts w:ascii="Times New Roman" w:eastAsia="標楷體" w:hAnsi="Times New Roman"/>
                <w:sz w:val="28"/>
                <w:szCs w:val="28"/>
              </w:rPr>
              <w:t>ETF</w:t>
            </w:r>
            <w:r w:rsidRPr="00326B79">
              <w:rPr>
                <w:rFonts w:ascii="Times New Roman" w:eastAsia="標楷體" w:hAnsi="Times New Roman"/>
                <w:sz w:val="28"/>
                <w:szCs w:val="28"/>
              </w:rPr>
              <w:t>，以正向不超過二倍及反向不超過一倍為限，委託人應於初次買賣時具備下列條件之一：</w:t>
            </w:r>
          </w:p>
          <w:p w14:paraId="2046559D" w14:textId="77777777" w:rsidR="00F41B9D" w:rsidRPr="00326B79" w:rsidRDefault="00F41B9D" w:rsidP="00EE3C10">
            <w:pPr>
              <w:pStyle w:val="a3"/>
              <w:spacing w:line="400" w:lineRule="exact"/>
              <w:ind w:leftChars="3" w:left="455" w:hangingChars="160" w:hanging="448"/>
              <w:jc w:val="both"/>
              <w:rPr>
                <w:rFonts w:ascii="Times New Roman" w:eastAsia="標楷體" w:hAnsi="Times New Roman"/>
                <w:sz w:val="28"/>
                <w:szCs w:val="28"/>
              </w:rPr>
            </w:pPr>
            <w:r w:rsidRPr="00326B79">
              <w:rPr>
                <w:rFonts w:ascii="Times New Roman" w:eastAsia="標楷體" w:hAnsi="Times New Roman"/>
                <w:sz w:val="28"/>
                <w:szCs w:val="28"/>
              </w:rPr>
              <w:t>一、已開立國內信用交易帳戶。</w:t>
            </w:r>
          </w:p>
          <w:p w14:paraId="454F228E" w14:textId="77777777" w:rsidR="00F41B9D" w:rsidRPr="00326B79" w:rsidRDefault="00F41B9D" w:rsidP="00EE3C10">
            <w:pPr>
              <w:pStyle w:val="a3"/>
              <w:spacing w:line="400" w:lineRule="exact"/>
              <w:ind w:leftChars="3" w:left="567" w:hangingChars="200" w:hanging="560"/>
              <w:jc w:val="both"/>
              <w:rPr>
                <w:rFonts w:ascii="Times New Roman" w:eastAsia="標楷體" w:hAnsi="Times New Roman"/>
                <w:sz w:val="28"/>
                <w:szCs w:val="28"/>
              </w:rPr>
            </w:pPr>
            <w:r w:rsidRPr="00326B79">
              <w:rPr>
                <w:rFonts w:ascii="Times New Roman" w:eastAsia="標楷體" w:hAnsi="Times New Roman"/>
                <w:sz w:val="28"/>
                <w:szCs w:val="28"/>
              </w:rPr>
              <w:t>二、最近一年內委託買賣國內或外國認購</w:t>
            </w:r>
            <w:r w:rsidRPr="00326B79">
              <w:rPr>
                <w:rFonts w:ascii="Times New Roman" w:eastAsia="標楷體" w:hAnsi="Times New Roman"/>
                <w:sz w:val="28"/>
                <w:szCs w:val="28"/>
              </w:rPr>
              <w:t>(</w:t>
            </w:r>
            <w:r w:rsidRPr="00326B79">
              <w:rPr>
                <w:rFonts w:ascii="Times New Roman" w:eastAsia="標楷體" w:hAnsi="Times New Roman"/>
                <w:sz w:val="28"/>
                <w:szCs w:val="28"/>
              </w:rPr>
              <w:t>售</w:t>
            </w:r>
            <w:r w:rsidRPr="00326B79">
              <w:rPr>
                <w:rFonts w:ascii="Times New Roman" w:eastAsia="標楷體" w:hAnsi="Times New Roman"/>
                <w:sz w:val="28"/>
                <w:szCs w:val="28"/>
              </w:rPr>
              <w:t>)</w:t>
            </w:r>
            <w:r w:rsidRPr="00326B79">
              <w:rPr>
                <w:rFonts w:ascii="Times New Roman" w:eastAsia="標楷體" w:hAnsi="Times New Roman"/>
                <w:sz w:val="28"/>
                <w:szCs w:val="28"/>
              </w:rPr>
              <w:t>權證成交達十筆</w:t>
            </w:r>
            <w:r w:rsidRPr="00326B79">
              <w:rPr>
                <w:rFonts w:ascii="Times New Roman" w:eastAsia="標楷體" w:hAnsi="Times New Roman"/>
                <w:sz w:val="28"/>
                <w:szCs w:val="28"/>
              </w:rPr>
              <w:t>(</w:t>
            </w:r>
            <w:r w:rsidRPr="00326B79">
              <w:rPr>
                <w:rFonts w:ascii="Times New Roman" w:eastAsia="標楷體" w:hAnsi="Times New Roman"/>
                <w:sz w:val="28"/>
                <w:szCs w:val="28"/>
              </w:rPr>
              <w:t>含</w:t>
            </w:r>
            <w:r w:rsidRPr="00326B79">
              <w:rPr>
                <w:rFonts w:ascii="Times New Roman" w:eastAsia="標楷體" w:hAnsi="Times New Roman"/>
                <w:sz w:val="28"/>
                <w:szCs w:val="28"/>
              </w:rPr>
              <w:t>)</w:t>
            </w:r>
            <w:r w:rsidRPr="00326B79">
              <w:rPr>
                <w:rFonts w:ascii="Times New Roman" w:eastAsia="標楷體" w:hAnsi="Times New Roman"/>
                <w:sz w:val="28"/>
                <w:szCs w:val="28"/>
              </w:rPr>
              <w:t>以上。</w:t>
            </w:r>
          </w:p>
          <w:p w14:paraId="07ED761C" w14:textId="77777777" w:rsidR="00F41B9D" w:rsidRPr="00326B79" w:rsidRDefault="00F41B9D" w:rsidP="00EE3C10">
            <w:pPr>
              <w:pStyle w:val="a3"/>
              <w:spacing w:line="400" w:lineRule="exact"/>
              <w:ind w:leftChars="3" w:left="567" w:hangingChars="200" w:hanging="560"/>
              <w:jc w:val="both"/>
              <w:rPr>
                <w:rFonts w:ascii="Times New Roman" w:eastAsia="標楷體" w:hAnsi="Times New Roman"/>
                <w:sz w:val="28"/>
                <w:szCs w:val="28"/>
              </w:rPr>
            </w:pPr>
            <w:r w:rsidRPr="00326B79">
              <w:rPr>
                <w:rFonts w:ascii="Times New Roman" w:eastAsia="標楷體" w:hAnsi="Times New Roman"/>
                <w:sz w:val="28"/>
                <w:szCs w:val="28"/>
              </w:rPr>
              <w:t>三、最近一年內委託買賣國內或外國期貨交易契約成交達十筆</w:t>
            </w:r>
            <w:r w:rsidRPr="00326B79">
              <w:rPr>
                <w:rFonts w:ascii="Times New Roman" w:eastAsia="標楷體" w:hAnsi="Times New Roman"/>
                <w:sz w:val="28"/>
                <w:szCs w:val="28"/>
              </w:rPr>
              <w:t>(</w:t>
            </w:r>
            <w:r w:rsidRPr="00326B79">
              <w:rPr>
                <w:rFonts w:ascii="Times New Roman" w:eastAsia="標楷體" w:hAnsi="Times New Roman"/>
                <w:sz w:val="28"/>
                <w:szCs w:val="28"/>
              </w:rPr>
              <w:t>含</w:t>
            </w:r>
            <w:r w:rsidRPr="00326B79">
              <w:rPr>
                <w:rFonts w:ascii="Times New Roman" w:eastAsia="標楷體" w:hAnsi="Times New Roman"/>
                <w:sz w:val="28"/>
                <w:szCs w:val="28"/>
              </w:rPr>
              <w:t>)</w:t>
            </w:r>
            <w:r w:rsidRPr="00326B79">
              <w:rPr>
                <w:rFonts w:ascii="Times New Roman" w:eastAsia="標楷體" w:hAnsi="Times New Roman"/>
                <w:sz w:val="28"/>
                <w:szCs w:val="28"/>
              </w:rPr>
              <w:t>以上。</w:t>
            </w:r>
          </w:p>
          <w:p w14:paraId="3BD8BF74" w14:textId="77777777" w:rsidR="00F41B9D" w:rsidRPr="00326B79" w:rsidRDefault="00F41B9D" w:rsidP="00EE3C10">
            <w:pPr>
              <w:pStyle w:val="a3"/>
              <w:spacing w:line="400" w:lineRule="exact"/>
              <w:ind w:leftChars="3" w:left="567" w:hangingChars="200" w:hanging="560"/>
              <w:jc w:val="both"/>
              <w:rPr>
                <w:rFonts w:ascii="Times New Roman" w:eastAsia="標楷體" w:hAnsi="Times New Roman"/>
                <w:sz w:val="28"/>
                <w:szCs w:val="28"/>
              </w:rPr>
            </w:pPr>
            <w:r w:rsidRPr="00326B79">
              <w:rPr>
                <w:rFonts w:ascii="Times New Roman" w:eastAsia="標楷體" w:hAnsi="Times New Roman"/>
                <w:sz w:val="28"/>
                <w:szCs w:val="28"/>
              </w:rPr>
              <w:t>四、委託買賣國內或外國證券交易市場掛牌之槓桿或放空效果</w:t>
            </w:r>
            <w:r w:rsidRPr="00326B79">
              <w:rPr>
                <w:rFonts w:ascii="Times New Roman" w:eastAsia="標楷體" w:hAnsi="Times New Roman"/>
                <w:sz w:val="28"/>
                <w:szCs w:val="28"/>
              </w:rPr>
              <w:t xml:space="preserve">ETF </w:t>
            </w:r>
            <w:r w:rsidRPr="00326B79">
              <w:rPr>
                <w:rFonts w:ascii="Times New Roman" w:eastAsia="標楷體" w:hAnsi="Times New Roman"/>
                <w:sz w:val="28"/>
                <w:szCs w:val="28"/>
              </w:rPr>
              <w:t>之成交紀錄。</w:t>
            </w:r>
          </w:p>
          <w:p w14:paraId="05359039" w14:textId="77777777" w:rsidR="00F41B9D" w:rsidRPr="00326B79" w:rsidRDefault="00F41B9D" w:rsidP="00EE3C10">
            <w:pPr>
              <w:pStyle w:val="a3"/>
              <w:spacing w:beforeLines="30" w:before="108" w:line="400" w:lineRule="exact"/>
              <w:ind w:left="0"/>
              <w:jc w:val="both"/>
              <w:rPr>
                <w:rFonts w:ascii="Times New Roman" w:eastAsia="標楷體" w:hAnsi="Times New Roman"/>
                <w:sz w:val="28"/>
                <w:szCs w:val="28"/>
              </w:rPr>
            </w:pPr>
            <w:r w:rsidRPr="00326B79">
              <w:rPr>
                <w:rFonts w:ascii="Times New Roman" w:eastAsia="標楷體" w:hAnsi="Times New Roman"/>
                <w:sz w:val="28"/>
                <w:szCs w:val="28"/>
              </w:rPr>
              <w:lastRenderedPageBreak/>
              <w:t>前項委託人向證券商提出申請時，得以確認為本人及其意思表示之通信或電子化方式為之。</w:t>
            </w:r>
          </w:p>
          <w:p w14:paraId="72EA8E54" w14:textId="77777777" w:rsidR="00F41B9D" w:rsidRPr="008E21E1" w:rsidRDefault="00F41B9D" w:rsidP="00EE3C10">
            <w:pPr>
              <w:spacing w:beforeLines="30" w:before="108" w:line="400" w:lineRule="exact"/>
              <w:jc w:val="both"/>
              <w:rPr>
                <w:rFonts w:ascii="Times New Roman" w:eastAsia="標楷體" w:hAnsi="Times New Roman"/>
                <w:b/>
                <w:bCs/>
                <w:sz w:val="28"/>
                <w:szCs w:val="28"/>
              </w:rPr>
            </w:pPr>
            <w:r w:rsidRPr="008E21E1">
              <w:rPr>
                <w:rFonts w:ascii="Times New Roman" w:eastAsia="標楷體" w:hAnsi="Times New Roman"/>
                <w:sz w:val="28"/>
                <w:szCs w:val="28"/>
              </w:rPr>
              <w:t>證券商接受非專業投資人委託買賣外國有價證券，應就管理規則第六條及相關函令規定非專業投資人買賣標的相關限制，建立內部控管作業程序，並依相關作業程序辦理。</w:t>
            </w:r>
          </w:p>
        </w:tc>
      </w:tr>
    </w:tbl>
    <w:p w14:paraId="1F91474C" w14:textId="77777777" w:rsidR="00F41B9D" w:rsidRPr="00F41B9D" w:rsidRDefault="00F41B9D" w:rsidP="002651A4">
      <w:pPr>
        <w:spacing w:afterLines="50" w:after="180" w:line="400" w:lineRule="exact"/>
        <w:jc w:val="both"/>
        <w:rPr>
          <w:rFonts w:ascii="Times New Roman" w:eastAsia="標楷體" w:hAnsi="Times New Roman" w:cs="Times New Roman" w:hint="eastAsia"/>
          <w:b/>
          <w:sz w:val="32"/>
          <w:szCs w:val="32"/>
        </w:rPr>
      </w:pPr>
    </w:p>
    <w:sectPr w:rsidR="00F41B9D" w:rsidRPr="00F41B9D" w:rsidSect="00F41B9D">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AC5B" w14:textId="77777777" w:rsidR="008D4261" w:rsidRDefault="008D4261" w:rsidP="002C0890">
      <w:r>
        <w:separator/>
      </w:r>
    </w:p>
  </w:endnote>
  <w:endnote w:type="continuationSeparator" w:id="0">
    <w:p w14:paraId="587B5710" w14:textId="77777777" w:rsidR="008D4261" w:rsidRDefault="008D4261" w:rsidP="002C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56EB" w14:textId="77777777" w:rsidR="008D4261" w:rsidRDefault="008D4261" w:rsidP="002C0890">
      <w:r>
        <w:separator/>
      </w:r>
    </w:p>
  </w:footnote>
  <w:footnote w:type="continuationSeparator" w:id="0">
    <w:p w14:paraId="554CE4E1" w14:textId="77777777" w:rsidR="008D4261" w:rsidRDefault="008D4261" w:rsidP="002C0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C3FCF"/>
    <w:multiLevelType w:val="hybridMultilevel"/>
    <w:tmpl w:val="6804CE90"/>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 w15:restartNumberingAfterBreak="0">
    <w:nsid w:val="1E6548D5"/>
    <w:multiLevelType w:val="hybridMultilevel"/>
    <w:tmpl w:val="3F00666A"/>
    <w:lvl w:ilvl="0" w:tplc="69848A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077701"/>
    <w:multiLevelType w:val="hybridMultilevel"/>
    <w:tmpl w:val="79F40C84"/>
    <w:lvl w:ilvl="0" w:tplc="A0A459A2">
      <w:start w:val="1"/>
      <w:numFmt w:val="lowerLetter"/>
      <w:lvlText w:val="%1."/>
      <w:lvlJc w:val="left"/>
      <w:pPr>
        <w:ind w:left="720" w:hanging="360"/>
      </w:pPr>
    </w:lvl>
    <w:lvl w:ilvl="1" w:tplc="134A7782">
      <w:start w:val="1"/>
      <w:numFmt w:val="lowerLetter"/>
      <w:lvlText w:val="%2."/>
      <w:lvlJc w:val="left"/>
      <w:pPr>
        <w:ind w:left="1440" w:hanging="360"/>
      </w:pPr>
    </w:lvl>
    <w:lvl w:ilvl="2" w:tplc="10620446">
      <w:start w:val="1"/>
      <w:numFmt w:val="lowerRoman"/>
      <w:lvlText w:val="%3."/>
      <w:lvlJc w:val="right"/>
      <w:pPr>
        <w:ind w:left="2160" w:hanging="180"/>
      </w:pPr>
    </w:lvl>
    <w:lvl w:ilvl="3" w:tplc="7464BA12">
      <w:start w:val="1"/>
      <w:numFmt w:val="decimal"/>
      <w:lvlText w:val="%4."/>
      <w:lvlJc w:val="left"/>
      <w:pPr>
        <w:ind w:left="2880" w:hanging="360"/>
      </w:pPr>
    </w:lvl>
    <w:lvl w:ilvl="4" w:tplc="E660950C">
      <w:start w:val="1"/>
      <w:numFmt w:val="lowerLetter"/>
      <w:lvlText w:val="%5."/>
      <w:lvlJc w:val="left"/>
      <w:pPr>
        <w:ind w:left="3600" w:hanging="360"/>
      </w:pPr>
    </w:lvl>
    <w:lvl w:ilvl="5" w:tplc="8FBA55B8">
      <w:start w:val="1"/>
      <w:numFmt w:val="lowerRoman"/>
      <w:lvlText w:val="%6."/>
      <w:lvlJc w:val="right"/>
      <w:pPr>
        <w:ind w:left="4320" w:hanging="180"/>
      </w:pPr>
    </w:lvl>
    <w:lvl w:ilvl="6" w:tplc="D31A12CE">
      <w:start w:val="1"/>
      <w:numFmt w:val="decimal"/>
      <w:lvlText w:val="%7."/>
      <w:lvlJc w:val="left"/>
      <w:pPr>
        <w:ind w:left="5040" w:hanging="360"/>
      </w:pPr>
    </w:lvl>
    <w:lvl w:ilvl="7" w:tplc="C65EA98E">
      <w:start w:val="1"/>
      <w:numFmt w:val="lowerLetter"/>
      <w:lvlText w:val="%8."/>
      <w:lvlJc w:val="left"/>
      <w:pPr>
        <w:ind w:left="5760" w:hanging="360"/>
      </w:pPr>
    </w:lvl>
    <w:lvl w:ilvl="8" w:tplc="30381CBE">
      <w:start w:val="1"/>
      <w:numFmt w:val="lowerRoman"/>
      <w:lvlText w:val="%9."/>
      <w:lvlJc w:val="right"/>
      <w:pPr>
        <w:ind w:left="6480" w:hanging="180"/>
      </w:pPr>
    </w:lvl>
  </w:abstractNum>
  <w:abstractNum w:abstractNumId="3" w15:restartNumberingAfterBreak="0">
    <w:nsid w:val="2F185D45"/>
    <w:multiLevelType w:val="hybridMultilevel"/>
    <w:tmpl w:val="19FC4C7E"/>
    <w:lvl w:ilvl="0" w:tplc="EFA0961E">
      <w:start w:val="1"/>
      <w:numFmt w:val="taiwaneseCountingThousand"/>
      <w:lvlText w:val="%1、"/>
      <w:lvlJc w:val="left"/>
      <w:pPr>
        <w:tabs>
          <w:tab w:val="num" w:pos="964"/>
        </w:tabs>
        <w:ind w:left="964" w:hanging="680"/>
      </w:pPr>
      <w:rPr>
        <w:lang w:val="en-US"/>
      </w:rPr>
    </w:lvl>
    <w:lvl w:ilvl="1" w:tplc="4CE684C4">
      <w:start w:val="1"/>
      <w:numFmt w:val="taiwaneseCountingThousand"/>
      <w:lvlText w:val="(%2)"/>
      <w:lvlJc w:val="left"/>
      <w:pPr>
        <w:tabs>
          <w:tab w:val="num" w:pos="1614"/>
        </w:tabs>
        <w:ind w:left="1614" w:hanging="654"/>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4" w15:restartNumberingAfterBreak="0">
    <w:nsid w:val="6C3C184F"/>
    <w:multiLevelType w:val="hybridMultilevel"/>
    <w:tmpl w:val="9462107A"/>
    <w:lvl w:ilvl="0" w:tplc="94366DBC">
      <w:start w:val="1"/>
      <w:numFmt w:val="decimal"/>
      <w:lvlText w:val="%1."/>
      <w:lvlJc w:val="left"/>
      <w:pPr>
        <w:ind w:left="720" w:hanging="360"/>
      </w:pPr>
    </w:lvl>
    <w:lvl w:ilvl="1" w:tplc="4654633A">
      <w:start w:val="1"/>
      <w:numFmt w:val="lowerLetter"/>
      <w:lvlText w:val="%2."/>
      <w:lvlJc w:val="left"/>
      <w:pPr>
        <w:ind w:left="1440" w:hanging="360"/>
      </w:pPr>
    </w:lvl>
    <w:lvl w:ilvl="2" w:tplc="388E20F2">
      <w:start w:val="1"/>
      <w:numFmt w:val="lowerRoman"/>
      <w:lvlText w:val="%3."/>
      <w:lvlJc w:val="right"/>
      <w:pPr>
        <w:ind w:left="2160" w:hanging="180"/>
      </w:pPr>
    </w:lvl>
    <w:lvl w:ilvl="3" w:tplc="23FE36F4">
      <w:start w:val="1"/>
      <w:numFmt w:val="decimal"/>
      <w:lvlText w:val="%4."/>
      <w:lvlJc w:val="left"/>
      <w:pPr>
        <w:ind w:left="2880" w:hanging="360"/>
      </w:pPr>
    </w:lvl>
    <w:lvl w:ilvl="4" w:tplc="75BC44D4">
      <w:start w:val="1"/>
      <w:numFmt w:val="lowerLetter"/>
      <w:lvlText w:val="%5."/>
      <w:lvlJc w:val="left"/>
      <w:pPr>
        <w:ind w:left="3600" w:hanging="360"/>
      </w:pPr>
    </w:lvl>
    <w:lvl w:ilvl="5" w:tplc="05E8D6B8">
      <w:start w:val="1"/>
      <w:numFmt w:val="lowerRoman"/>
      <w:lvlText w:val="%6."/>
      <w:lvlJc w:val="right"/>
      <w:pPr>
        <w:ind w:left="4320" w:hanging="180"/>
      </w:pPr>
    </w:lvl>
    <w:lvl w:ilvl="6" w:tplc="0F2EA14A">
      <w:start w:val="1"/>
      <w:numFmt w:val="decimal"/>
      <w:lvlText w:val="%7."/>
      <w:lvlJc w:val="left"/>
      <w:pPr>
        <w:ind w:left="5040" w:hanging="360"/>
      </w:pPr>
    </w:lvl>
    <w:lvl w:ilvl="7" w:tplc="455C3198">
      <w:start w:val="1"/>
      <w:numFmt w:val="lowerLetter"/>
      <w:lvlText w:val="%8."/>
      <w:lvlJc w:val="left"/>
      <w:pPr>
        <w:ind w:left="5760" w:hanging="360"/>
      </w:pPr>
    </w:lvl>
    <w:lvl w:ilvl="8" w:tplc="1CDA4FE4">
      <w:start w:val="1"/>
      <w:numFmt w:val="lowerRoman"/>
      <w:lvlText w:val="%9."/>
      <w:lvlJc w:val="right"/>
      <w:pPr>
        <w:ind w:left="6480" w:hanging="180"/>
      </w:pPr>
    </w:lvl>
  </w:abstractNum>
  <w:abstractNum w:abstractNumId="5" w15:restartNumberingAfterBreak="0">
    <w:nsid w:val="74397FBA"/>
    <w:multiLevelType w:val="hybridMultilevel"/>
    <w:tmpl w:val="CA220A6C"/>
    <w:lvl w:ilvl="0" w:tplc="11B0DB6C">
      <w:start w:val="1"/>
      <w:numFmt w:val="decimal"/>
      <w:lvlText w:val="%1."/>
      <w:lvlJc w:val="left"/>
      <w:pPr>
        <w:ind w:left="720" w:hanging="360"/>
      </w:pPr>
    </w:lvl>
    <w:lvl w:ilvl="1" w:tplc="53E27EDE">
      <w:start w:val="1"/>
      <w:numFmt w:val="lowerLetter"/>
      <w:lvlText w:val="%2."/>
      <w:lvlJc w:val="left"/>
      <w:pPr>
        <w:ind w:left="1440" w:hanging="360"/>
      </w:pPr>
    </w:lvl>
    <w:lvl w:ilvl="2" w:tplc="90C2E2CC">
      <w:start w:val="1"/>
      <w:numFmt w:val="lowerRoman"/>
      <w:lvlText w:val="%3."/>
      <w:lvlJc w:val="right"/>
      <w:pPr>
        <w:ind w:left="2160" w:hanging="180"/>
      </w:pPr>
    </w:lvl>
    <w:lvl w:ilvl="3" w:tplc="60CE1FDC">
      <w:start w:val="1"/>
      <w:numFmt w:val="decimal"/>
      <w:lvlText w:val="%4."/>
      <w:lvlJc w:val="left"/>
      <w:pPr>
        <w:ind w:left="2880" w:hanging="360"/>
      </w:pPr>
    </w:lvl>
    <w:lvl w:ilvl="4" w:tplc="BD4A31BE">
      <w:start w:val="1"/>
      <w:numFmt w:val="lowerLetter"/>
      <w:lvlText w:val="%5."/>
      <w:lvlJc w:val="left"/>
      <w:pPr>
        <w:ind w:left="3600" w:hanging="360"/>
      </w:pPr>
    </w:lvl>
    <w:lvl w:ilvl="5" w:tplc="8D8E1CEA">
      <w:start w:val="1"/>
      <w:numFmt w:val="lowerRoman"/>
      <w:lvlText w:val="%6."/>
      <w:lvlJc w:val="right"/>
      <w:pPr>
        <w:ind w:left="4320" w:hanging="180"/>
      </w:pPr>
    </w:lvl>
    <w:lvl w:ilvl="6" w:tplc="98E63B1E">
      <w:start w:val="1"/>
      <w:numFmt w:val="decimal"/>
      <w:lvlText w:val="%7."/>
      <w:lvlJc w:val="left"/>
      <w:pPr>
        <w:ind w:left="5040" w:hanging="360"/>
      </w:pPr>
    </w:lvl>
    <w:lvl w:ilvl="7" w:tplc="57DCF1F0">
      <w:start w:val="1"/>
      <w:numFmt w:val="lowerLetter"/>
      <w:lvlText w:val="%8."/>
      <w:lvlJc w:val="left"/>
      <w:pPr>
        <w:ind w:left="5760" w:hanging="360"/>
      </w:pPr>
    </w:lvl>
    <w:lvl w:ilvl="8" w:tplc="4CDAB902">
      <w:start w:val="1"/>
      <w:numFmt w:val="lowerRoman"/>
      <w:lvlText w:val="%9."/>
      <w:lvlJc w:val="right"/>
      <w:pPr>
        <w:ind w:left="6480" w:hanging="180"/>
      </w:pPr>
    </w:lvl>
  </w:abstractNum>
  <w:abstractNum w:abstractNumId="6" w15:restartNumberingAfterBreak="0">
    <w:nsid w:val="7A846C02"/>
    <w:multiLevelType w:val="hybridMultilevel"/>
    <w:tmpl w:val="C6CAD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5"/>
  </w:num>
  <w:num w:numId="4">
    <w:abstractNumId w:val="0"/>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C60B8"/>
    <w:rsid w:val="00011F24"/>
    <w:rsid w:val="00082A33"/>
    <w:rsid w:val="000919AC"/>
    <w:rsid w:val="00097DE1"/>
    <w:rsid w:val="000B3559"/>
    <w:rsid w:val="000D3402"/>
    <w:rsid w:val="00100BA0"/>
    <w:rsid w:val="0011043B"/>
    <w:rsid w:val="0012729D"/>
    <w:rsid w:val="00146465"/>
    <w:rsid w:val="00162A62"/>
    <w:rsid w:val="001E489A"/>
    <w:rsid w:val="001F394C"/>
    <w:rsid w:val="002054E0"/>
    <w:rsid w:val="002651A4"/>
    <w:rsid w:val="00277ADC"/>
    <w:rsid w:val="00280F21"/>
    <w:rsid w:val="0029374B"/>
    <w:rsid w:val="002A020C"/>
    <w:rsid w:val="002A5AF7"/>
    <w:rsid w:val="002A6A42"/>
    <w:rsid w:val="002C0890"/>
    <w:rsid w:val="002C29CC"/>
    <w:rsid w:val="002D65F3"/>
    <w:rsid w:val="00320262"/>
    <w:rsid w:val="00353902"/>
    <w:rsid w:val="003546BE"/>
    <w:rsid w:val="0037633F"/>
    <w:rsid w:val="00382DCD"/>
    <w:rsid w:val="00397AF5"/>
    <w:rsid w:val="003E3B29"/>
    <w:rsid w:val="003E69EC"/>
    <w:rsid w:val="003F0F05"/>
    <w:rsid w:val="003F3536"/>
    <w:rsid w:val="00421A09"/>
    <w:rsid w:val="00444977"/>
    <w:rsid w:val="00472AD9"/>
    <w:rsid w:val="004A6A1E"/>
    <w:rsid w:val="004E771F"/>
    <w:rsid w:val="004F2FFC"/>
    <w:rsid w:val="00546EA7"/>
    <w:rsid w:val="005541CA"/>
    <w:rsid w:val="00563FB7"/>
    <w:rsid w:val="0059191C"/>
    <w:rsid w:val="00634A13"/>
    <w:rsid w:val="006511F1"/>
    <w:rsid w:val="00660795"/>
    <w:rsid w:val="0066747A"/>
    <w:rsid w:val="00693958"/>
    <w:rsid w:val="006B7305"/>
    <w:rsid w:val="006D2993"/>
    <w:rsid w:val="00700348"/>
    <w:rsid w:val="007835CE"/>
    <w:rsid w:val="007A5F5A"/>
    <w:rsid w:val="007B104C"/>
    <w:rsid w:val="007B34B4"/>
    <w:rsid w:val="00801C54"/>
    <w:rsid w:val="0081313E"/>
    <w:rsid w:val="00824DCE"/>
    <w:rsid w:val="0086793F"/>
    <w:rsid w:val="00870A74"/>
    <w:rsid w:val="00873F55"/>
    <w:rsid w:val="008B2BF2"/>
    <w:rsid w:val="008C4391"/>
    <w:rsid w:val="008D126F"/>
    <w:rsid w:val="008D3C41"/>
    <w:rsid w:val="008D4261"/>
    <w:rsid w:val="008F3DA0"/>
    <w:rsid w:val="009235C5"/>
    <w:rsid w:val="009361D1"/>
    <w:rsid w:val="009627A6"/>
    <w:rsid w:val="00975500"/>
    <w:rsid w:val="00986C4B"/>
    <w:rsid w:val="0099738E"/>
    <w:rsid w:val="009A4998"/>
    <w:rsid w:val="009C65D0"/>
    <w:rsid w:val="00A062F5"/>
    <w:rsid w:val="00A404D4"/>
    <w:rsid w:val="00A54CB6"/>
    <w:rsid w:val="00A641EF"/>
    <w:rsid w:val="00A674C4"/>
    <w:rsid w:val="00A73F1A"/>
    <w:rsid w:val="00AA5043"/>
    <w:rsid w:val="00AB7441"/>
    <w:rsid w:val="00AC18EB"/>
    <w:rsid w:val="00AD02E1"/>
    <w:rsid w:val="00AF30A9"/>
    <w:rsid w:val="00AF5717"/>
    <w:rsid w:val="00B0062D"/>
    <w:rsid w:val="00B0439D"/>
    <w:rsid w:val="00B072D3"/>
    <w:rsid w:val="00B11406"/>
    <w:rsid w:val="00B43C6F"/>
    <w:rsid w:val="00B81D61"/>
    <w:rsid w:val="00BA570C"/>
    <w:rsid w:val="00BA5FF2"/>
    <w:rsid w:val="00BC5695"/>
    <w:rsid w:val="00C14487"/>
    <w:rsid w:val="00C3560B"/>
    <w:rsid w:val="00C371FB"/>
    <w:rsid w:val="00C51B23"/>
    <w:rsid w:val="00C5295B"/>
    <w:rsid w:val="00CB62CA"/>
    <w:rsid w:val="00CC017B"/>
    <w:rsid w:val="00CF0F45"/>
    <w:rsid w:val="00D03245"/>
    <w:rsid w:val="00D14741"/>
    <w:rsid w:val="00D50233"/>
    <w:rsid w:val="00D51029"/>
    <w:rsid w:val="00D774D0"/>
    <w:rsid w:val="00D80AA1"/>
    <w:rsid w:val="00D875C6"/>
    <w:rsid w:val="00DA36D7"/>
    <w:rsid w:val="00DA5A6F"/>
    <w:rsid w:val="00DC1560"/>
    <w:rsid w:val="00DF2EDB"/>
    <w:rsid w:val="00E001F5"/>
    <w:rsid w:val="00E03BC2"/>
    <w:rsid w:val="00E520C9"/>
    <w:rsid w:val="00E748C7"/>
    <w:rsid w:val="00E84C21"/>
    <w:rsid w:val="00E85AAA"/>
    <w:rsid w:val="00EB4DE0"/>
    <w:rsid w:val="00EB61A9"/>
    <w:rsid w:val="00ED58E9"/>
    <w:rsid w:val="00EF32D8"/>
    <w:rsid w:val="00F025C3"/>
    <w:rsid w:val="00F22CFF"/>
    <w:rsid w:val="00F33F9A"/>
    <w:rsid w:val="00F37F72"/>
    <w:rsid w:val="00F41B9D"/>
    <w:rsid w:val="00F65AFE"/>
    <w:rsid w:val="00F7397F"/>
    <w:rsid w:val="00F80A62"/>
    <w:rsid w:val="00FA2131"/>
    <w:rsid w:val="00FB432E"/>
    <w:rsid w:val="00FC2065"/>
    <w:rsid w:val="00FC5E32"/>
    <w:rsid w:val="00FC6A55"/>
    <w:rsid w:val="00FE45D0"/>
    <w:rsid w:val="01AD9A18"/>
    <w:rsid w:val="021ECED8"/>
    <w:rsid w:val="02759816"/>
    <w:rsid w:val="039D1AD1"/>
    <w:rsid w:val="04BC70A9"/>
    <w:rsid w:val="04BF6F4A"/>
    <w:rsid w:val="06F5F4FC"/>
    <w:rsid w:val="07913C2E"/>
    <w:rsid w:val="09420650"/>
    <w:rsid w:val="09514167"/>
    <w:rsid w:val="0AD8233A"/>
    <w:rsid w:val="0BB7D046"/>
    <w:rsid w:val="0D5142C7"/>
    <w:rsid w:val="0D8D9E98"/>
    <w:rsid w:val="0E464742"/>
    <w:rsid w:val="0E8FFE7C"/>
    <w:rsid w:val="0EDC60B8"/>
    <w:rsid w:val="0F2BBAAC"/>
    <w:rsid w:val="1038324E"/>
    <w:rsid w:val="10481AC7"/>
    <w:rsid w:val="143ECB15"/>
    <w:rsid w:val="1629D7A4"/>
    <w:rsid w:val="171F0509"/>
    <w:rsid w:val="187145A6"/>
    <w:rsid w:val="1C9156E7"/>
    <w:rsid w:val="2013A37F"/>
    <w:rsid w:val="213FA672"/>
    <w:rsid w:val="217A1E17"/>
    <w:rsid w:val="227992C2"/>
    <w:rsid w:val="22E4F090"/>
    <w:rsid w:val="2390F395"/>
    <w:rsid w:val="263DE96E"/>
    <w:rsid w:val="2697CC8B"/>
    <w:rsid w:val="2BC5DD07"/>
    <w:rsid w:val="2C0FF7B6"/>
    <w:rsid w:val="2CDD2FBF"/>
    <w:rsid w:val="2D3EB361"/>
    <w:rsid w:val="2E751491"/>
    <w:rsid w:val="302631A0"/>
    <w:rsid w:val="3144A8A1"/>
    <w:rsid w:val="3342B372"/>
    <w:rsid w:val="35439290"/>
    <w:rsid w:val="36EA156C"/>
    <w:rsid w:val="36EEE084"/>
    <w:rsid w:val="37548062"/>
    <w:rsid w:val="38DF1B93"/>
    <w:rsid w:val="397D606C"/>
    <w:rsid w:val="3B7897D8"/>
    <w:rsid w:val="3CA6BC4B"/>
    <w:rsid w:val="3DC2D302"/>
    <w:rsid w:val="3EF096D7"/>
    <w:rsid w:val="4219D0AC"/>
    <w:rsid w:val="438586F5"/>
    <w:rsid w:val="453FDFD9"/>
    <w:rsid w:val="46149B5A"/>
    <w:rsid w:val="473BFA66"/>
    <w:rsid w:val="4835E4F5"/>
    <w:rsid w:val="48E0F59C"/>
    <w:rsid w:val="4BB7DA79"/>
    <w:rsid w:val="4CDE8754"/>
    <w:rsid w:val="4D46817C"/>
    <w:rsid w:val="5258621E"/>
    <w:rsid w:val="52D389B1"/>
    <w:rsid w:val="531DF0D5"/>
    <w:rsid w:val="5573F837"/>
    <w:rsid w:val="57501642"/>
    <w:rsid w:val="5759894E"/>
    <w:rsid w:val="5A2B3675"/>
    <w:rsid w:val="5A565D88"/>
    <w:rsid w:val="5C2A28B9"/>
    <w:rsid w:val="5D7A5CBA"/>
    <w:rsid w:val="5E0F37B2"/>
    <w:rsid w:val="5ED4AA29"/>
    <w:rsid w:val="64C1F91A"/>
    <w:rsid w:val="64CB7EDB"/>
    <w:rsid w:val="6808326A"/>
    <w:rsid w:val="68350E76"/>
    <w:rsid w:val="6AD3E015"/>
    <w:rsid w:val="6D1E6F6D"/>
    <w:rsid w:val="6D92FE74"/>
    <w:rsid w:val="6DE0314C"/>
    <w:rsid w:val="6F00E6FA"/>
    <w:rsid w:val="6F1CD01A"/>
    <w:rsid w:val="7002555C"/>
    <w:rsid w:val="70BA154C"/>
    <w:rsid w:val="70D4507E"/>
    <w:rsid w:val="7161848E"/>
    <w:rsid w:val="75D8D768"/>
    <w:rsid w:val="75EE14CC"/>
    <w:rsid w:val="77A430A1"/>
    <w:rsid w:val="77CF8772"/>
    <w:rsid w:val="7830BAA5"/>
    <w:rsid w:val="79418420"/>
    <w:rsid w:val="7BB14CFF"/>
    <w:rsid w:val="7F78F45A"/>
    <w:rsid w:val="7FF7D5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60B8"/>
  <w15:chartTrackingRefBased/>
  <w15:docId w15:val="{344D960D-2E21-48E4-A45C-5E5BF0E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2C0890"/>
    <w:pPr>
      <w:tabs>
        <w:tab w:val="center" w:pos="4153"/>
        <w:tab w:val="right" w:pos="8306"/>
      </w:tabs>
      <w:snapToGrid w:val="0"/>
    </w:pPr>
    <w:rPr>
      <w:sz w:val="20"/>
      <w:szCs w:val="20"/>
    </w:rPr>
  </w:style>
  <w:style w:type="character" w:customStyle="1" w:styleId="a5">
    <w:name w:val="頁首 字元"/>
    <w:basedOn w:val="a0"/>
    <w:link w:val="a4"/>
    <w:uiPriority w:val="99"/>
    <w:rsid w:val="002C0890"/>
    <w:rPr>
      <w:sz w:val="20"/>
      <w:szCs w:val="20"/>
    </w:rPr>
  </w:style>
  <w:style w:type="paragraph" w:styleId="a6">
    <w:name w:val="footer"/>
    <w:basedOn w:val="a"/>
    <w:link w:val="a7"/>
    <w:uiPriority w:val="99"/>
    <w:unhideWhenUsed/>
    <w:rsid w:val="002C0890"/>
    <w:pPr>
      <w:tabs>
        <w:tab w:val="center" w:pos="4153"/>
        <w:tab w:val="right" w:pos="8306"/>
      </w:tabs>
      <w:snapToGrid w:val="0"/>
    </w:pPr>
    <w:rPr>
      <w:sz w:val="20"/>
      <w:szCs w:val="20"/>
    </w:rPr>
  </w:style>
  <w:style w:type="character" w:customStyle="1" w:styleId="a7">
    <w:name w:val="頁尾 字元"/>
    <w:basedOn w:val="a0"/>
    <w:link w:val="a6"/>
    <w:uiPriority w:val="99"/>
    <w:rsid w:val="002C0890"/>
    <w:rPr>
      <w:sz w:val="20"/>
      <w:szCs w:val="20"/>
    </w:rPr>
  </w:style>
  <w:style w:type="paragraph" w:customStyle="1" w:styleId="HTML1">
    <w:name w:val="HTML 預設格式1"/>
    <w:basedOn w:val="a"/>
    <w:rsid w:val="00F80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Times New Roman"/>
      <w:color w:val="000000"/>
      <w:kern w:val="0"/>
      <w:sz w:val="20"/>
      <w:szCs w:val="20"/>
    </w:rPr>
  </w:style>
  <w:style w:type="paragraph" w:styleId="a8">
    <w:name w:val="Balloon Text"/>
    <w:basedOn w:val="a"/>
    <w:link w:val="a9"/>
    <w:uiPriority w:val="99"/>
    <w:semiHidden/>
    <w:unhideWhenUsed/>
    <w:rsid w:val="00AC18E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18EB"/>
    <w:rPr>
      <w:rFonts w:asciiTheme="majorHAnsi" w:eastAsiaTheme="majorEastAsia" w:hAnsiTheme="majorHAnsi" w:cstheme="majorBidi"/>
      <w:sz w:val="18"/>
      <w:szCs w:val="18"/>
    </w:rPr>
  </w:style>
  <w:style w:type="table" w:styleId="aa">
    <w:name w:val="Table Grid"/>
    <w:basedOn w:val="a1"/>
    <w:uiPriority w:val="39"/>
    <w:rsid w:val="00F41B9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94231">
      <w:bodyDiv w:val="1"/>
      <w:marLeft w:val="0"/>
      <w:marRight w:val="0"/>
      <w:marTop w:val="0"/>
      <w:marBottom w:val="0"/>
      <w:divBdr>
        <w:top w:val="none" w:sz="0" w:space="0" w:color="auto"/>
        <w:left w:val="none" w:sz="0" w:space="0" w:color="auto"/>
        <w:bottom w:val="none" w:sz="0" w:space="0" w:color="auto"/>
        <w:right w:val="none" w:sz="0" w:space="0" w:color="auto"/>
      </w:divBdr>
    </w:div>
    <w:div w:id="1309169730">
      <w:bodyDiv w:val="1"/>
      <w:marLeft w:val="0"/>
      <w:marRight w:val="0"/>
      <w:marTop w:val="0"/>
      <w:marBottom w:val="0"/>
      <w:divBdr>
        <w:top w:val="none" w:sz="0" w:space="0" w:color="auto"/>
        <w:left w:val="none" w:sz="0" w:space="0" w:color="auto"/>
        <w:bottom w:val="none" w:sz="0" w:space="0" w:color="auto"/>
        <w:right w:val="none" w:sz="0" w:space="0" w:color="auto"/>
      </w:divBdr>
    </w:div>
    <w:div w:id="1748115325">
      <w:bodyDiv w:val="1"/>
      <w:marLeft w:val="0"/>
      <w:marRight w:val="0"/>
      <w:marTop w:val="0"/>
      <w:marBottom w:val="0"/>
      <w:divBdr>
        <w:top w:val="none" w:sz="0" w:space="0" w:color="auto"/>
        <w:left w:val="none" w:sz="0" w:space="0" w:color="auto"/>
        <w:bottom w:val="none" w:sz="0" w:space="0" w:color="auto"/>
        <w:right w:val="none" w:sz="0" w:space="0" w:color="auto"/>
      </w:divBdr>
    </w:div>
    <w:div w:id="20309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33EE7-9D5C-4B34-A21C-506E4691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Tsai</dc:creator>
  <cp:keywords/>
  <dc:description/>
  <cp:lastModifiedBy>張嘉純</cp:lastModifiedBy>
  <cp:revision>3</cp:revision>
  <cp:lastPrinted>2021-04-20T02:57:00Z</cp:lastPrinted>
  <dcterms:created xsi:type="dcterms:W3CDTF">2021-12-15T02:38:00Z</dcterms:created>
  <dcterms:modified xsi:type="dcterms:W3CDTF">2021-12-15T02:40:00Z</dcterms:modified>
</cp:coreProperties>
</file>